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caps w:val="0"/>
          <w:smallCaps w:val="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mallCaps w:val="1"/>
          <w:sz w:val="28"/>
          <w:szCs w:val="28"/>
          <w:shd w:val="clear" w:color="auto" w:fill="ffffff"/>
          <w:rtl w:val="0"/>
          <w:lang w:val="it-IT"/>
        </w:rPr>
        <w:t>Didascalie Immagini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caps w:val="0"/>
          <w:smallCaps w:val="0"/>
          <w:sz w:val="28"/>
          <w:szCs w:val="28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Fig. 1: MONASTIR - Carta di distribuzione territoriale dei siti con testimonianze di Et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nuragica (elaborazione grafica D. Cinus).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Fig. 2: MONASTIR - Loc. Monte Zara. Modello 3D del rilievo ed ubicazione dei diversi nuclei insediativi (elaborazione grafica D. Cinus). 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Fig. 3: MONASTIR - Loc.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pt-PT"/>
        </w:rPr>
        <w:t>Bia de Monti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. Planimetria del settore A (da 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>Ugas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2001: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 101,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tav. 4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; elaborazione D. Cinus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). 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Fig. 4: MONASTIR - Loc.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pt-PT"/>
        </w:rPr>
        <w:t>Bia de Monti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. Planimetria del settore B (da 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 xml:space="preserve">Ugas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2001: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 101,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tav. 4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; elaborazione D. Cinus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). 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Fig. 5: MONASTIR - Loc.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pt-PT"/>
        </w:rPr>
        <w:t>Bia de Monti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 L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edificio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</w:rPr>
        <w:t>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 durante le operazioni di scavo (da E) (foto G. Vinci). 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Fig. 6: MONASTIR - Loc.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it-IT"/>
        </w:rPr>
        <w:t>Su Cuccum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it-IT"/>
        </w:rPr>
        <w:t>e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. Immagine aerea del nuraghe (da NW) (foto M. Piga).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Fig. 7: MONASTIR - Loc.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it-IT"/>
        </w:rPr>
        <w:t>Su Cuccumeu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. Planimetria del nuraghe monotorre (rilievo G. Vinci; elaborazione A. Lecca).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Fig. 8: MONASTIR - Loc.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es-ES_tradnl"/>
        </w:rPr>
        <w:t>Pedrera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. La tomba durante le operazioni di scavo (da A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>tzeni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pt-PT"/>
        </w:rPr>
        <w:t xml:space="preserve"> Em., S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>onedda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2017 abstract book poster). 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Fig. 9: MONASTIR - Loc.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pt-PT"/>
        </w:rPr>
        <w:t>Bia de Monti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 Planimetria della capanna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. 46: in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evidenza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la vasca e i frammenti della grande coppa a fusto cilindrico conformata a torre nuragica del manufatto litico in arenaria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(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rilievo G. Vinci; elaborazione D. Cinus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).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Fig. 10: MONASTIR - Loc.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pt-PT"/>
        </w:rPr>
        <w:t>Is Fogaias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 L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edificio nuragico n. 160 (da U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>gas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2012a: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236,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fig. 1b).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Fig. 11: MONASTIR - Loc.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en-US"/>
        </w:rPr>
        <w:t>Is Obias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. Alcuni dei conci lavorati dislocati nell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area (foto D. Cinus).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Fig. 12: MONASTIR - Loc.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en-US"/>
        </w:rPr>
        <w:t>Is Obias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. La tavola delle offerte riutilizzata nell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USM 10 (da F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>arci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, M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>orittu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2013: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125,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tav.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VII, fig. 1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).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Fig. 13: MONASTIR - Loc.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en-US"/>
        </w:rPr>
        <w:t>Is Obias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. Dettaglio dell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pt-PT"/>
        </w:rPr>
        <w:t>angolo Est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 della porta monumentale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(da C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>hiesa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2015: fig. 3).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da-DK"/>
        </w:rPr>
        <w:t>Fig 1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4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: MONASTIR - Loc.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en-US"/>
        </w:rPr>
        <w:t>Is Obias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. In alto il bacile rinvenuto nell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US 47; in basso il bacile reimpiegato nell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USM 24 dell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edificio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de-DE"/>
        </w:rPr>
        <w:t>Beta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(da C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>hiesa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2015;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elaborazione D.Cinus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).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Fig. 1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: Anse frammentarie di brocca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</w:rPr>
        <w:t>askoidi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 rinvenute in US 12 (da F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>arci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, M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>orittu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2013: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133,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tav. XV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, fig. 4-4a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).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Fig. 1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6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: Frammento di collo decorato pertinente ad un forma vascolare chiusa proveniente da US 12 (da F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>arci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, M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>orittu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2013: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 137,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tav. XIX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, fig. 1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Fig. 1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7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: La brocca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</w:rPr>
        <w:t>askoide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 e fiasca lenticolare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da Monte Olladiri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 oggi esposte al Museo Archeologico Nazionale di Cagliari (foto D. Cinus).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Fig. 1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8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: Il manufatto litico configurati a torre nuragica dopo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il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 restauro (foto G. Alvito).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Fig. 19: MONASTIR - Loc.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it-IT"/>
        </w:rPr>
        <w:t>Bia de Monti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. I reperti della zona H nell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US 4C (da </w:t>
      </w:r>
      <w:r>
        <w:rPr>
          <w:rFonts w:ascii="Times New Roman" w:hAnsi="Times New Roman"/>
          <w:smallCaps w:val="1"/>
          <w:sz w:val="24"/>
          <w:szCs w:val="24"/>
          <w:shd w:val="clear" w:color="auto" w:fill="ffffff"/>
          <w:rtl w:val="0"/>
          <w:lang w:val="it-IT"/>
        </w:rPr>
        <w:t xml:space="preserve">Ugas 2001: 109,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tav. 16).</w:t>
      </w: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Di 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Fig. 20: La capanna n. 46 in fase di scavo: riconoscibili il manufatto litico configurato a torre nuragica e la grande mola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 in granito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(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da </w:t>
      </w:r>
      <w:r>
        <w:rPr>
          <w:rFonts w:ascii="Times New Roman" w:hAnsi="Times New Roman"/>
          <w:smallCaps w:val="1"/>
          <w:sz w:val="24"/>
          <w:szCs w:val="24"/>
          <w:rtl w:val="0"/>
          <w:lang w:val="it-IT"/>
        </w:rPr>
        <w:t>Ugas</w:t>
      </w:r>
      <w:r>
        <w:rPr>
          <w:rFonts w:ascii="Times New Roman" w:hAnsi="Times New Roman"/>
          <w:sz w:val="24"/>
          <w:szCs w:val="24"/>
          <w:rtl w:val="0"/>
        </w:rPr>
        <w:t xml:space="preserve"> 2001: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102,</w:t>
      </w:r>
      <w:r>
        <w:rPr>
          <w:rFonts w:ascii="Times New Roman" w:hAnsi="Times New Roman"/>
          <w:sz w:val="24"/>
          <w:szCs w:val="24"/>
          <w:rtl w:val="0"/>
        </w:rPr>
        <w:t xml:space="preserve"> tav. </w:t>
      </w:r>
      <w:r>
        <w:rPr>
          <w:rFonts w:ascii="Times New Roman" w:hAnsi="Times New Roman"/>
          <w:sz w:val="24"/>
          <w:szCs w:val="24"/>
          <w:rtl w:val="0"/>
          <w:lang w:val="it-IT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;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elaborazione D. Cinus).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